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D50" w:rsidRPr="00533D50" w:rsidRDefault="00AC14D3" w:rsidP="00533D50">
      <w:pPr>
        <w:spacing w:before="100" w:beforeAutospacing="1" w:after="100" w:afterAutospacing="1" w:line="240" w:lineRule="auto"/>
        <w:outlineLvl w:val="4"/>
        <w:rPr>
          <w:rFonts w:ascii="Arial" w:eastAsia="Times New Roman" w:hAnsi="Arial" w:cs="Arial"/>
          <w:b/>
          <w:bCs/>
          <w:sz w:val="20"/>
          <w:szCs w:val="20"/>
        </w:rPr>
      </w:pPr>
      <w:r>
        <w:rPr>
          <w:rFonts w:ascii="Arial" w:eastAsia="Times New Roman" w:hAnsi="Arial" w:cs="Arial"/>
          <w:b/>
          <w:bCs/>
          <w:sz w:val="20"/>
          <w:szCs w:val="20"/>
        </w:rPr>
        <w:t xml:space="preserve">40 CFR 63 </w:t>
      </w:r>
      <w:r w:rsidR="00533D50" w:rsidRPr="00533D50">
        <w:rPr>
          <w:rFonts w:ascii="Arial" w:eastAsia="Times New Roman" w:hAnsi="Arial" w:cs="Arial"/>
          <w:b/>
          <w:bCs/>
          <w:sz w:val="20"/>
          <w:szCs w:val="20"/>
        </w:rPr>
        <w:t>Subpart BBBBBB—National Emission Standards for Hazardous Air Pollutants for Source Category: Gasoline Distribution Bulk Terminals, Bulk Plants, and Pipeline Facilities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b/>
          <w:bCs/>
          <w:sz w:val="20"/>
          <w:szCs w:val="20"/>
        </w:rPr>
        <w:t>Source:</w:t>
      </w:r>
      <w:r w:rsidRPr="00533D50">
        <w:rPr>
          <w:rFonts w:ascii="Arial" w:eastAsia="Times New Roman" w:hAnsi="Arial" w:cs="Arial"/>
          <w:sz w:val="20"/>
          <w:szCs w:val="20"/>
        </w:rPr>
        <w:t xml:space="preserve">   73 FR 1933, Jan. 10, 2008, unless otherwise noted.</w:t>
      </w:r>
      <w:r w:rsidRPr="00533D50">
        <w:rPr>
          <w:rFonts w:ascii="Arial" w:eastAsia="Times New Roman" w:hAnsi="Arial" w:cs="Arial"/>
          <w:sz w:val="18"/>
          <w:szCs w:val="18"/>
        </w:rPr>
        <w:t xml:space="preserve"> </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What This Subpart Covers</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63.11080   What is the purpose of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63.11081   Am I subject to the requirements in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A bulk gasoline terminal that is not subject to the control requirements of 40 CFR part 63, subpart R (§§63.422, 63.423, and 63.424) or 40 CFR part 63, subpart CC (§§63.646, 63.648, 63.649, and 63.650).</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A pipeline breakout station that is not subject to the control requirements of 40 CFR part 63, subpart R (§§63.423 and 63.424).</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A pipeline pumping station.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A bulk gasoline plant.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The loading of aviation gasoline into storage tanks at airports, and the subsequent transfer of aviation gasoline within the airport, is not subject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The loading of gasoline into marine tank vessels at bulk facilities is not subject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(h) Storage tanks that are used to load gasoline into a cargo tank for the on-site redistribution of gasoline to another storage tank are subject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(i) For any affected source subject to the provisions of this subpart and another Federal rule, you may elect to comply only with the more stringent provisions of the applicable subparts. You must consider all provisions of the rules, </w:t>
      </w:r>
      <w:r w:rsidRPr="00533D50">
        <w:rPr>
          <w:rFonts w:ascii="Arial" w:eastAsia="Times New Roman" w:hAnsi="Arial" w:cs="Arial"/>
          <w:sz w:val="18"/>
          <w:szCs w:val="18"/>
        </w:rPr>
        <w:lastRenderedPageBreak/>
        <w:t>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76 FR 4176,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63.11082   What parts of my affected source does this subpart cover?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An affected source is a new affected source if you commenced construction on the affected source after November 9, 2006, and you meet the applicability criteria in §63.11081 at the time you commenced operation.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An affected source is reconstructed if you meet the criteria for reconstruction as defined in §63.2.</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An affected source is an existing affected source if it is not new or reconstructed.</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63.11083   When do I have to comply with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If you have a new or reconstructed affected source, you must comply with this subpart according to paragraphs (a)(1) and (2)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If you start up your affected source before January 10, 2008, you must comply with the standards in this subpart no later than January 10, 2008.</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If you start up your affected source after January 10, 2008, you must comply with the standards in this subpart upon startup of your affected source.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If you have an existing affected source, you must comply with the standards in this subpart no later than January 10, 2011.</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If you have an existing affected source that becomes subject to the control requirements in this subpart because of an increase in the daily throughput, as specified in option 1 of Table 2 to this subpart, you must comply with the standards in this subpart no later than 3 years after the affected source becomes subject to the control requirements in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76 FR 4176,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Emission Limitations and Management Practices</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63.11085   What are my general duties to minimize emissions?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Each owner or operator of an affected source under this subpart must comply with the requirements of paragraphs (a) and (b)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lastRenderedPageBreak/>
        <w:t>(b) You must keep applicable records and submit reports as specified in §63.11094(g) and §63.11095(d).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[76 FR 4177,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63.11086   What requirements must I meet if my facility is a bulk gasoline plant?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Each owner or operator of an affected bulk gasoline plant, as defined in §63.11100, must comply with the requirements of paragraphs (a) through (i)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Submerged fill pipes installed on or before November 9, 2006, must be no more than 12 inches from the bottom of the tank.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Submerged fill pipes installed after November 9, 2006, must be no more than 6 inches from the bottom of the tank.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Gasoline storage tanks with a capacity of less than 250 gallons are not required to comply with the control requirements in paragraph (a) of this section, but must comply only with the requirements in paragraph (d)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You must perform a monthly leak inspection of all equipment in gasoline service according to the requirements specified in §63.11089(a) through (d).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You must not allow gasoline to be handled in a manner that would result in vapor releases to the atmosphere for extended periods of time. Measures to be taken include, but are not limited to, the following:</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Minimize gasoline spills;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Clean up spills as expeditiously as practicable;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Cover all open gasoline containers and all gasoline storage tank fill-pipes with a gasketed seal when not in use;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Minimize gasoline sent to open waste collection systems that collect and transport gasoline to reclamation and recycling devices, such as oil/water separators.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The name and address of the owner and the operator.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The address (i.e., physical location) of the bulk plant.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A statement that the notification is being submitted in response to this subpart and identifying the requirements in paragraphs (a), (b), (c), and (d) of this section that apply to you.</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A brief description of the bulk plant, including the number of storage tanks in gasoline service, the capacity of each storage tank in gasoline service, and the average monthly gasoline throughput at the affected source.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(h) You must comply with the requirements of this subpart by the applicable dates specified in §63.11083.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You must keep applicable records and submit reports as specified in §63.11094(d) and (e) and §63.11095(c).</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76 FR 4177,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63.11087   What requirements must I meet for gasoline storage tanks if my facility is a bulk gasoline terminal, pipeline breakout station, or pipeline pumping station?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You must meet each emission limit and management practice in Table 1 to this subpart that applies to your gasoline storage tank.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You must comply with the applicable testing and monitoring requirements specified in §63.11092(e).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You must submit the applicable notifications as required under §63.11093.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You must keep records and submit reports as specified in §§63.11094 and 63.11095.</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63.11088   What requirements must I meet for gasoline loading racks if my facility is a bulk gasoline terminal, pipeline breakout station, or pipeline pumping station?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You must meet each emission limit and management practice in Table 2 to this subpart that applies to you.</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As an alternative for railcar cargo tanks to the requirements specified in Table 2 to this subpart, you may comply with the requirements specified in §63.422(e).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You must comply with the requirements of this subpart by the applicable dates specified in §63.11083.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You must comply with the applicable testing and monitoring requirements specified in §63.11092.</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You must submit the applicable notifications as required under §63.11093.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You must keep records and submit reports as specified in §§63.11094 and 63.11095.</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63.11089   What requirements must I meet for equipment leak inspections if my facility is a bulk gasoline terminal, bulk plant, pipeline breakout station, or pipeline pumping station?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You must comply with the requirements of this subpart by the applicable dates specified in §63.11083.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You must submit the applicable notifications as required under §63.11093.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(g) You must keep records and submit reports as specified in §§63.11094 and 63.11095.</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Testing and Monitoring Requirements</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63.11092   What testing and monitoring requirements must I meet?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Each owner or operator of a bulk gasoline terminal subject to the emission standard in item 1(b) of Table 2 to this subpart must comply with the requirements in paragraphs (a) through (d)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Conduct a performance test on the vapor processing and collection systems according to either paragraph (a)(1)(i) or paragraph (a)(1)(ii)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Use the test methods and procedures in §60.503 of this chapter, except a reading of 500 parts per million shall be used to determine the level of leaks to be repaired under §60.503(b) of this chapter.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Use alternative test methods and procedures in accordance with the alternative test method requirements in §63.7(f).</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Where a carbon adsorption system is used, the owner or operator shall monitor the operation of the system as specified in paragraphs (b)(1)(i)(A) or (B)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A continuous emissions monitoring system (CEMS) capable of measuring organic compound concentration shall be installed in the exhaust air stream.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(B) As an alternative to paragraph (b)(1)(i)(A) of this section, you may choose to meet the requirements listed in paragraph (b)(1)(i)(B)( </w:t>
      </w:r>
      <w:r w:rsidRPr="00533D50">
        <w:rPr>
          <w:rFonts w:ascii="Arial" w:eastAsia="Times New Roman" w:hAnsi="Arial" w:cs="Arial"/>
          <w:i/>
          <w:iCs/>
          <w:sz w:val="18"/>
          <w:szCs w:val="18"/>
        </w:rPr>
        <w:t xml:space="preserve">1 </w:t>
      </w:r>
      <w:r w:rsidRPr="00533D50">
        <w:rPr>
          <w:rFonts w:ascii="Arial" w:eastAsia="Times New Roman" w:hAnsi="Arial" w:cs="Arial"/>
          <w:sz w:val="18"/>
          <w:szCs w:val="18"/>
        </w:rPr>
        <w:t xml:space="preserve">) and (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1 </w:t>
      </w:r>
      <w:r w:rsidRPr="00533D50">
        <w:rPr>
          <w:rFonts w:ascii="Arial" w:eastAsia="Times New Roman" w:hAnsi="Arial" w:cs="Arial"/>
          <w:sz w:val="18"/>
          <w:szCs w:val="18"/>
        </w:rPr>
        <w:t xml:space="preserve">) Carbon adsorption devices shall be monitored as specified in paragraphs (b)(1)(i)(B)( </w:t>
      </w:r>
      <w:r w:rsidRPr="00533D50">
        <w:rPr>
          <w:rFonts w:ascii="Arial" w:eastAsia="Times New Roman" w:hAnsi="Arial" w:cs="Arial"/>
          <w:i/>
          <w:iCs/>
          <w:sz w:val="18"/>
          <w:szCs w:val="18"/>
        </w:rPr>
        <w:t xml:space="preserve">1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 </w:t>
      </w:r>
      <w:r w:rsidRPr="00533D50">
        <w:rPr>
          <w:rFonts w:ascii="Arial" w:eastAsia="Times New Roman" w:hAnsi="Arial" w:cs="Arial"/>
          <w:sz w:val="18"/>
          <w:szCs w:val="18"/>
        </w:rPr>
        <w:t xml:space="preserve">), and (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 </w:t>
      </w:r>
      <w:r w:rsidRPr="00533D50">
        <w:rPr>
          <w:rFonts w:ascii="Arial" w:eastAsia="Times New Roman" w:hAnsi="Arial" w:cs="Arial"/>
          <w:sz w:val="18"/>
          <w:szCs w:val="18"/>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part 60, Appendix A–7, EPA Method 21 for open-ended lines.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Develop and submit to the Administrator a monitoring and inspection plan that describes the owner or operator's approach for meeting the requirements in paragraphs (b)(1)(i)(B)(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xml:space="preserve">) through (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 </w:t>
      </w:r>
      <w:r w:rsidRPr="00533D50">
        <w:rPr>
          <w:rFonts w:ascii="Arial" w:eastAsia="Times New Roman" w:hAnsi="Arial" w:cs="Arial"/>
          <w:sz w:val="18"/>
          <w:szCs w:val="18"/>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iv </w:t>
      </w:r>
      <w:r w:rsidRPr="00533D50">
        <w:rPr>
          <w:rFonts w:ascii="Arial" w:eastAsia="Times New Roman" w:hAnsi="Arial" w:cs="Arial"/>
          <w:sz w:val="18"/>
          <w:szCs w:val="18"/>
        </w:rPr>
        <w:t xml:space="preserve">) The monitoring plan developed under paragraph (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of this section shall specify conditions that would be considered malfunctions of the carbon adsorption system during the inspections or automated monitoring performed under paragraphs (b)(1)(i)(B)(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xml:space="preserve">) through (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of this section, describe specific corrective actions that will be taken to correct any malfunction, and define what the owner or operator would consider to be a timely repair for each potential malfunction.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(iii) Where a thermal oxidation system other than a flare is used, the owner or operator shall monitor the operation of the system as specified in paragraphs (b)(1)(iii)(A) or (B)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A CPMS capable of measuring temperature shall be installed in the firebox or in the ductwork immediately downstream from the firebox in a position before any substantial heat exchange occurs.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(B) As an alternative to paragraph (b)(1)(iii)(A) of this section, you may choose to meet the requirements listed in paragraphs (b)(1)(iii)(B)( </w:t>
      </w:r>
      <w:r w:rsidRPr="00533D50">
        <w:rPr>
          <w:rFonts w:ascii="Arial" w:eastAsia="Times New Roman" w:hAnsi="Arial" w:cs="Arial"/>
          <w:i/>
          <w:iCs/>
          <w:sz w:val="18"/>
          <w:szCs w:val="18"/>
        </w:rPr>
        <w:t xml:space="preserve">1 </w:t>
      </w:r>
      <w:r w:rsidRPr="00533D50">
        <w:rPr>
          <w:rFonts w:ascii="Arial" w:eastAsia="Times New Roman" w:hAnsi="Arial" w:cs="Arial"/>
          <w:sz w:val="18"/>
          <w:szCs w:val="18"/>
        </w:rPr>
        <w:t xml:space="preserve">) and (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1 </w:t>
      </w:r>
      <w:r w:rsidRPr="00533D50">
        <w:rPr>
          <w:rFonts w:ascii="Arial" w:eastAsia="Times New Roman" w:hAnsi="Arial" w:cs="Arial"/>
          <w:sz w:val="18"/>
          <w:szCs w:val="18"/>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Develop and submit to the Administrator a monitoring and inspection plan that describes the owner or operator's approach for meeting the requirements in paragraphs (b)(1)(iii)(B)(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xml:space="preserve">) through (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 </w:t>
      </w:r>
      <w:r w:rsidRPr="00533D50">
        <w:rPr>
          <w:rFonts w:ascii="Arial" w:eastAsia="Times New Roman" w:hAnsi="Arial" w:cs="Arial"/>
          <w:sz w:val="18"/>
          <w:szCs w:val="18"/>
        </w:rPr>
        <w:t>) The thermal oxidation system shall be equipped to automatically prevent gasoline loading operations from beginning at any time that the pilot flame is absent.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 </w:t>
      </w:r>
      <w:r w:rsidRPr="00533D50">
        <w:rPr>
          <w:rFonts w:ascii="Arial" w:eastAsia="Times New Roman" w:hAnsi="Arial" w:cs="Arial"/>
          <w:sz w:val="18"/>
          <w:szCs w:val="18"/>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iv </w:t>
      </w:r>
      <w:r w:rsidRPr="00533D50">
        <w:rPr>
          <w:rFonts w:ascii="Arial" w:eastAsia="Times New Roman" w:hAnsi="Arial" w:cs="Arial"/>
          <w:sz w:val="18"/>
          <w:szCs w:val="18"/>
        </w:rPr>
        <w:t xml:space="preserve">) The monitoring plan developed under paragraph (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of this section shall specify conditions that would be considered malfunctions of the thermal oxidation system during the inspections or automated monitoring performed under paragraphs (b)(1)(iii)(B)(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ii </w:t>
      </w:r>
      <w:r w:rsidRPr="00533D50">
        <w:rPr>
          <w:rFonts w:ascii="Arial" w:eastAsia="Times New Roman" w:hAnsi="Arial" w:cs="Arial"/>
          <w:sz w:val="18"/>
          <w:szCs w:val="18"/>
        </w:rPr>
        <w:t xml:space="preserve">) and ( </w:t>
      </w:r>
      <w:r w:rsidRPr="00533D50">
        <w:rPr>
          <w:rFonts w:ascii="Arial" w:eastAsia="Times New Roman" w:hAnsi="Arial" w:cs="Arial"/>
          <w:i/>
          <w:iCs/>
          <w:sz w:val="18"/>
          <w:szCs w:val="18"/>
        </w:rPr>
        <w:t xml:space="preserve">iii </w:t>
      </w:r>
      <w:r w:rsidRPr="00533D50">
        <w:rPr>
          <w:rFonts w:ascii="Arial" w:eastAsia="Times New Roman" w:hAnsi="Arial" w:cs="Arial"/>
          <w:sz w:val="18"/>
          <w:szCs w:val="18"/>
        </w:rPr>
        <w:t>) of this section, describe specific corrective actions that will be taken to correct any malfunction, and define what the owner or operator would consider to be a timely repair for each potential malfunction.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Where a flare meeting the requirements in §63.11(b) is used, a heat-sensing device, such as an ultraviolet beam sensor or a thermocouple, must be installed in proximity to the pilot light to indicate the presence of a flame.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Determine an operating parameter value based on the parameter data monitored during the performance test, supplemented by engineering assessments and the manufacturer's recommendations.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For performance tests performed after the initial test required under paragraph (a) of this section, the owner or operator shall document the reasons for any change in the operating parameter value since the previous performance test.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Each owner or operator of a bulk gasoline terminal subject to the provisions of this subpart shall comply with the requirements in paragraphs (d)(1) through (4)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Operate the vapor processing system in a manner not to exceed or not to go below, as appropriate, the operating parameter value for the parameters described in paragraph (b)(1)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Operation of the vapor processing system in a manner exceeding or going below the operating parameter value, as appropriate, shall constitute a violation of the emission standard in §63.11088(a), except as specified in paragraph (d)(4)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(4) For the monitoring and inspection, as required under paragraphs (b)(1)(i)(B)(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and (b)(1)(iii)(B)(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of this section, malfunctions that are discovered shall not constitute a violation of the emission standard in §63.11088(a) if corrective actions as described in the monitoring and inspection plan are followed. The owner or operator must: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Initiate corrective action to determine the cause of the problem within 1 hour;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Initiate corrective action to fix the problem within 24 hours;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(iii) Complete all corrective actions needed to fix the problem as soon as practicable consistent with good air pollution control practices for minimizing emissions;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(iv) Minimize periods of start-up, shutdown, or malfunction; and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(v) Take any necessary corrective actions to restore normal operation and prevent the recurrence of the cause of the problem.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Each owner or operator subject to the emission standard in §63.11087 for gasoline storage tanks shall comply with the requirements in paragraphs (e)(1) through (3)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(1) </w:t>
      </w:r>
      <w:r w:rsidRPr="00533D50">
        <w:rPr>
          <w:rFonts w:ascii="Arial" w:eastAsia="Times New Roman" w:hAnsi="Arial" w:cs="Arial"/>
          <w:i/>
          <w:iCs/>
          <w:sz w:val="18"/>
          <w:szCs w:val="18"/>
        </w:rPr>
        <w:t xml:space="preserve">EPA Method 27, Appendix A–8, 40 CFR part 60. </w:t>
      </w:r>
      <w:r w:rsidRPr="00533D50">
        <w:rPr>
          <w:rFonts w:ascii="Arial" w:eastAsia="Times New Roman" w:hAnsi="Arial" w:cs="Arial"/>
          <w:sz w:val="18"/>
          <w:szCs w:val="18"/>
        </w:rPr>
        <w:t>Conduct the test using a time period (t) for the pressure and vacuum tests of 5 minutes. The initial pressure (P</w:t>
      </w:r>
      <w:r w:rsidRPr="00533D50">
        <w:rPr>
          <w:rFonts w:ascii="Arial" w:eastAsia="Times New Roman" w:hAnsi="Arial" w:cs="Arial"/>
          <w:sz w:val="18"/>
          <w:szCs w:val="18"/>
          <w:vertAlign w:val="subscript"/>
        </w:rPr>
        <w:t>i</w:t>
      </w:r>
      <w:r w:rsidRPr="00533D50">
        <w:rPr>
          <w:rFonts w:ascii="Arial" w:eastAsia="Times New Roman" w:hAnsi="Arial" w:cs="Arial"/>
          <w:sz w:val="18"/>
          <w:szCs w:val="18"/>
        </w:rPr>
        <w:t>) for the pressure test shall be 460 millimeters (mm) of water (18 inches of water), gauge. The initial vacuum (V</w:t>
      </w:r>
      <w:r w:rsidRPr="00533D50">
        <w:rPr>
          <w:rFonts w:ascii="Arial" w:eastAsia="Times New Roman" w:hAnsi="Arial" w:cs="Arial"/>
          <w:sz w:val="18"/>
          <w:szCs w:val="18"/>
          <w:vertAlign w:val="subscript"/>
        </w:rPr>
        <w:t>i</w:t>
      </w:r>
      <w:r w:rsidRPr="00533D50">
        <w:rPr>
          <w:rFonts w:ascii="Arial" w:eastAsia="Times New Roman" w:hAnsi="Arial" w:cs="Arial"/>
          <w:sz w:val="18"/>
          <w:szCs w:val="18"/>
        </w:rPr>
        <w:t>) for the vacuum test shall be 150 mm of water (6 inches of water), gauge. The maximum allowable pressure and vacuum changes (Δ p, Δ v) for all affected gasoline cargo tanks is 3 inches of water, or less, in 5 minutes.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(2) </w:t>
      </w:r>
      <w:r w:rsidRPr="00533D50">
        <w:rPr>
          <w:rFonts w:ascii="Arial" w:eastAsia="Times New Roman" w:hAnsi="Arial" w:cs="Arial"/>
          <w:i/>
          <w:iCs/>
          <w:sz w:val="18"/>
          <w:szCs w:val="18"/>
        </w:rPr>
        <w:t xml:space="preserve">Railcar bubble leak test procedures. </w:t>
      </w:r>
      <w:r w:rsidRPr="00533D50">
        <w:rPr>
          <w:rFonts w:ascii="Arial" w:eastAsia="Times New Roman" w:hAnsi="Arial" w:cs="Arial"/>
          <w:sz w:val="18"/>
          <w:szCs w:val="18"/>
        </w:rPr>
        <w:t>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Comply with the requirements of 49 CFR 173.31(d), 49 CFR 179.7, 49 CFR 180.509, and 49 CFR 180.511 for the periodic testing of railcar cargo tanks.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(g) </w:t>
      </w:r>
      <w:r w:rsidRPr="00533D50">
        <w:rPr>
          <w:rFonts w:ascii="Arial" w:eastAsia="Times New Roman" w:hAnsi="Arial" w:cs="Arial"/>
          <w:i/>
          <w:iCs/>
          <w:sz w:val="18"/>
          <w:szCs w:val="18"/>
        </w:rPr>
        <w:t xml:space="preserve">Conduct of performance tests. </w:t>
      </w:r>
      <w:r w:rsidRPr="00533D50">
        <w:rPr>
          <w:rFonts w:ascii="Arial" w:eastAsia="Times New Roman" w:hAnsi="Arial" w:cs="Arial"/>
          <w:sz w:val="18"/>
          <w:szCs w:val="18"/>
        </w:rPr>
        <w:t xml:space="preserve">Performance tests conducted for this subpart shall be conducted under such conditions as the Administrator specifies to the owner or operator, based on representative performance ( </w:t>
      </w:r>
      <w:r w:rsidRPr="00533D50">
        <w:rPr>
          <w:rFonts w:ascii="Arial" w:eastAsia="Times New Roman" w:hAnsi="Arial" w:cs="Arial"/>
          <w:i/>
          <w:iCs/>
          <w:sz w:val="18"/>
          <w:szCs w:val="18"/>
        </w:rPr>
        <w:t xml:space="preserve">i.e., </w:t>
      </w:r>
      <w:r w:rsidRPr="00533D50">
        <w:rPr>
          <w:rFonts w:ascii="Arial" w:eastAsia="Times New Roman" w:hAnsi="Arial" w:cs="Arial"/>
          <w:sz w:val="18"/>
          <w:szCs w:val="18"/>
        </w:rPr>
        <w:t>performance based on normal operating conditions) of the affected source. Upon request, the owner or operator shall make available to the Administrator such records as may be necessary to determine the conditions of performance tests.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73 FR 12276, Mar. 7, 2008; 76 FR 4177,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Notifications, Records, and Reports</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63.11093   What notifications must I submit and when?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Each owner or operator of an affected bulk gasoline terminal under this subpart must submit a Notification of Performance Test, as specified in §63.9(e), prior to initiating testing required by §63.11092(a) or §63.11092(b).</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Each owner or operator of any affected source under this subpart must submit additional notifications specified in §63.9, as applicable.</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63.11094   What are my recordkeeping requirements?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Each owner or operator of a bulk gasoline terminal subject to the provisions of this subpart shall keep records of the test results for each gasoline cargo tank loading at the facility as specified in paragraphs (b)(1) through (3)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Annual certification testing performed under §63.11092(f)(1) and periodic railcar bubble leak testing performed under §63.11092(f)(2).</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The documentation file shall be kept up-to-date for each gasoline cargo tank loading at the facility. The documentation for each test shall include, as a minimum, the following information: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(i) </w:t>
      </w:r>
      <w:r w:rsidRPr="00533D50">
        <w:rPr>
          <w:rFonts w:ascii="Arial" w:eastAsia="Times New Roman" w:hAnsi="Arial" w:cs="Arial"/>
          <w:i/>
          <w:iCs/>
          <w:sz w:val="18"/>
          <w:szCs w:val="18"/>
        </w:rPr>
        <w:t xml:space="preserve">Name of test: </w:t>
      </w:r>
      <w:r w:rsidRPr="00533D50">
        <w:rPr>
          <w:rFonts w:ascii="Arial" w:eastAsia="Times New Roman" w:hAnsi="Arial" w:cs="Arial"/>
          <w:sz w:val="18"/>
          <w:szCs w:val="18"/>
        </w:rPr>
        <w:t>Annual Certification Test—Method 27 or Periodic Railcar Bubble Leak Test Procedure.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Cargo tank owner's name and address.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(iii) Cargo tank identification number.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(iv) Test location and date.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(v) Tester name and signature.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(vi) </w:t>
      </w:r>
      <w:r w:rsidRPr="00533D50">
        <w:rPr>
          <w:rFonts w:ascii="Arial" w:eastAsia="Times New Roman" w:hAnsi="Arial" w:cs="Arial"/>
          <w:i/>
          <w:iCs/>
          <w:sz w:val="18"/>
          <w:szCs w:val="18"/>
        </w:rPr>
        <w:t xml:space="preserve">Witnessing inspector, if any: </w:t>
      </w:r>
      <w:r w:rsidRPr="00533D50">
        <w:rPr>
          <w:rFonts w:ascii="Arial" w:eastAsia="Times New Roman" w:hAnsi="Arial" w:cs="Arial"/>
          <w:sz w:val="18"/>
          <w:szCs w:val="18"/>
        </w:rPr>
        <w:t>Name, signature, and affiliation.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(vii) </w:t>
      </w:r>
      <w:r w:rsidRPr="00533D50">
        <w:rPr>
          <w:rFonts w:ascii="Arial" w:eastAsia="Times New Roman" w:hAnsi="Arial" w:cs="Arial"/>
          <w:i/>
          <w:iCs/>
          <w:sz w:val="18"/>
          <w:szCs w:val="18"/>
        </w:rPr>
        <w:t xml:space="preserve">Vapor tightness repair: </w:t>
      </w:r>
      <w:r w:rsidRPr="00533D50">
        <w:rPr>
          <w:rFonts w:ascii="Arial" w:eastAsia="Times New Roman" w:hAnsi="Arial" w:cs="Arial"/>
          <w:sz w:val="18"/>
          <w:szCs w:val="18"/>
        </w:rPr>
        <w:t>Nature of repair work and when performed in relation to vapor tightness testing.</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(viii) </w:t>
      </w:r>
      <w:r w:rsidRPr="00533D50">
        <w:rPr>
          <w:rFonts w:ascii="Arial" w:eastAsia="Times New Roman" w:hAnsi="Arial" w:cs="Arial"/>
          <w:i/>
          <w:iCs/>
          <w:sz w:val="18"/>
          <w:szCs w:val="18"/>
        </w:rPr>
        <w:t xml:space="preserve">Test results: </w:t>
      </w:r>
      <w:r w:rsidRPr="00533D50">
        <w:rPr>
          <w:rFonts w:ascii="Arial" w:eastAsia="Times New Roman" w:hAnsi="Arial" w:cs="Arial"/>
          <w:sz w:val="18"/>
          <w:szCs w:val="18"/>
        </w:rPr>
        <w:t>Test pressure; pressure or vacuum change, mm of water; time period of test; number of leaks found with instrument; and leak definition.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If you are complying with the alternative requirements in §63.11088(b), you must keep records documenting that you have verified the vapor tightness testing according to the requirements of the Administrator.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As an alternative to keeping records at the terminal of each gasoline cargo tank test result as required in paragraph (b) of this section, an owner or operator may comply with the requirements in either paragraph (c)(1) or paragraph (c)(2)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An electronic copy of each record is instantly available at the terminal.</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The copy of each record in paragraph (c)(1) of this section is an exact duplicate image of the original paper record with certifying signatures.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The Administrator is notified in writing that each terminal using this alternative is in compliance with paragraph (c)(1)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The copy of each record in paragraph (c)(2) of this section is an exact duplicate image of the original paper record with certifying signatures.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The Administrator is notified in writing that each terminal using this alternative is in compliance with paragraph (c)(2)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(e) Each owner or operator of an affected source subject to equipment leak inspections under §63.11089 shall record in the log book for each leak that is detected the information specified in paragraphs (e)(1) through (7)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The equipment type and identification number.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The nature of the leak (i.e., vapor or liquid) and the method of detection (i.e., sight, sound, or smell).</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The date the leak was detected and the date of each attempt to repair the leak.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Repair methods applied in each attempt to repair the leak.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(5) “Repair delayed” and the reason for the delay if the leak is not repaired within 15 calendar days after discovery of the leak.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(6) The expected date of successful repair of the leak if the leak is not repaired within 15 days.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 The date of successful repair of the leak.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(f) Each owner or operator of a bulk gasoline terminal subject to the provisions of this subpart shall:</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Record and report simultaneously with the Notification of Compliance Status required under §63.11093(b):</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All data and calculations, engineering assessments, and manufacturer's recommendations used in determining the operating parameter value under §63.11092(b) or §63.11092(e); and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The following information when using a flare under provisions of §63.11(b) to comply with §63.11087(a):</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Flare design (i.e., steam-assisted, air-assisted, or non-assisted); and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All visible emissions (VE) readings, heat content determinations, flow rate measurements, and exit velocity determinations made during the compliance determination required under §63.11092(e)(3).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(3) Keep an up-to-date, readily accessible copy of the monitoring and inspection plan required under §63.11092(b)(1)(i)(B)(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or §63.11092(b)(1)(iii)(B)(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(4) Keep an up-to-date, readily accessible record of all system malfunctions, as specified in §63.11092(b)(1)(i)(B)(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 xml:space="preserve">) or §63.11092(b)(1)(iii)(B)(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w:t>
      </w:r>
      <w:r w:rsidRPr="00533D50">
        <w:rPr>
          <w:rFonts w:ascii="Arial" w:eastAsia="Times New Roman" w:hAnsi="Arial" w:cs="Arial"/>
          <w:i/>
          <w:iCs/>
          <w:sz w:val="18"/>
          <w:szCs w:val="18"/>
        </w:rPr>
        <w:t xml:space="preserve">v </w:t>
      </w:r>
      <w:r w:rsidRPr="00533D50">
        <w:rPr>
          <w:rFonts w:ascii="Arial" w:eastAsia="Times New Roman" w:hAnsi="Arial" w:cs="Arial"/>
          <w:sz w:val="18"/>
          <w:szCs w:val="18"/>
        </w:rPr>
        <w: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(5) If an owner or operator requests approval to use a vapor processing system or monitor an operating parameter other than those specified in §63.11092(b), the owner or operator shall submit a description of planned reporting and recordkeeping procedures.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(g) Each owner or operator of an affected source under this subpart shall keep records as specified in paragraphs (g)(1) and (2)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(1) Records of the occurrence and duration of each malfunction of operation ( </w:t>
      </w:r>
      <w:r w:rsidRPr="00533D50">
        <w:rPr>
          <w:rFonts w:ascii="Arial" w:eastAsia="Times New Roman" w:hAnsi="Arial" w:cs="Arial"/>
          <w:i/>
          <w:iCs/>
          <w:sz w:val="18"/>
          <w:szCs w:val="18"/>
        </w:rPr>
        <w:t xml:space="preserve">i.e., </w:t>
      </w:r>
      <w:r w:rsidRPr="00533D50">
        <w:rPr>
          <w:rFonts w:ascii="Arial" w:eastAsia="Times New Roman" w:hAnsi="Arial" w:cs="Arial"/>
          <w:sz w:val="18"/>
          <w:szCs w:val="18"/>
        </w:rPr>
        <w:t>process equipment) or the air pollution control and monitoring equipment.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76 FR 4178,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63.11095   What are my reporting requirements?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Each owner or operator of a bulk terminal or a pipeline breakout station subject to the control requirements of this subpart shall include in a semiannual compliance report to the Administrator the following information, as applicable: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For loading racks, each loading of a gasoline cargo tank for which vapor tightness documentation had not been previously obtained by the facility.</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For equipment leak inspections, the number of equipment leaks not repaired within 15 days after detection.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Each reloading of a non-vapor-tight gasoline cargo tank at the facility before vapor tightness documentation for that cargo tank is obtained by the facility in accordance with §63.11094(b).</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 xml:space="preserve">(4) Each instance in which malfunctions discovered during the monitoring and inspections required under §63.11092(b)(1)(i)(B)(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xml:space="preserve">) and (b)(1)(iii)(B)( </w:t>
      </w:r>
      <w:r w:rsidRPr="00533D50">
        <w:rPr>
          <w:rFonts w:ascii="Arial" w:eastAsia="Times New Roman" w:hAnsi="Arial" w:cs="Arial"/>
          <w:i/>
          <w:iCs/>
          <w:sz w:val="18"/>
          <w:szCs w:val="18"/>
        </w:rPr>
        <w:t xml:space="preserve">2 </w:t>
      </w:r>
      <w:r w:rsidRPr="00533D50">
        <w:rPr>
          <w:rFonts w:ascii="Arial" w:eastAsia="Times New Roman" w:hAnsi="Arial" w:cs="Arial"/>
          <w:sz w:val="18"/>
          <w:szCs w:val="18"/>
        </w:rPr>
        <w:t>) were not resolved according to the necessary corrective actions described in the monitoring and inspection plan. The report shall include a description of the malfunction and the timing of the steps taken to correct the malfunction.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(5) For each occurrence of an equipment leak for which no repair attempt was made within 5 days or for which repair was not completed within 15 days after detection: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 The date on which the leak was detected;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 The date of each attempt to repair the leak;</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(iii) The reasons for the delay of repair; and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(iv) The date of successful repair.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73 FR 12276, Mar. 7, 2008; 76 FR 4178,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Other Requirements and Information</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63.11098   What parts of the General Provisions apply to me?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Table 3 to this subpart shows which parts of the General Provisions apply to you.</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63.11099   Who implements and enforces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(c) The authorities that cannot be delegated to State, local, or tribal agencies are as specified in paragraphs (c)(1) through (4) of this section.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Approval of major alternatives to test methods under §63.7(e)(2)(ii) and (f), as defined in §63.90, and as required in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Approval of major alternatives to monitoring under §63.8(f), as defined in §63.90, and as required in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Approval of major alternatives to recordkeeping and reporting under §63.10(f), as defined in §63.90, and as required in this subpart.</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 63.11100   What definitions apply to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Administrator </w:t>
      </w:r>
      <w:r w:rsidRPr="00533D50">
        <w:rPr>
          <w:rFonts w:ascii="Arial" w:eastAsia="Times New Roman" w:hAnsi="Arial" w:cs="Arial"/>
          <w:sz w:val="18"/>
          <w:szCs w:val="18"/>
        </w:rPr>
        <w:t>means the Administrator of the United States Environmental Protection Agency or his or her authorized representative (e.g., a State that has been delegated the authority to implement the provisions of this subpart).</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Bulk gasoline plant </w:t>
      </w:r>
      <w:r w:rsidRPr="00533D50">
        <w:rPr>
          <w:rFonts w:ascii="Arial" w:eastAsia="Times New Roman" w:hAnsi="Arial" w:cs="Arial"/>
          <w:sz w:val="18"/>
          <w:szCs w:val="18"/>
        </w:rPr>
        <w:t>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Bulk gasoline terminal </w:t>
      </w:r>
      <w:r w:rsidRPr="00533D50">
        <w:rPr>
          <w:rFonts w:ascii="Arial" w:eastAsia="Times New Roman" w:hAnsi="Arial" w:cs="Arial"/>
          <w:sz w:val="18"/>
          <w:szCs w:val="18"/>
        </w:rPr>
        <w:t>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Equipment </w:t>
      </w:r>
      <w:r w:rsidRPr="00533D50">
        <w:rPr>
          <w:rFonts w:ascii="Arial" w:eastAsia="Times New Roman" w:hAnsi="Arial" w:cs="Arial"/>
          <w:sz w:val="18"/>
          <w:szCs w:val="18"/>
        </w:rPr>
        <w:t>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Flare </w:t>
      </w:r>
      <w:r w:rsidRPr="00533D50">
        <w:rPr>
          <w:rFonts w:ascii="Arial" w:eastAsia="Times New Roman" w:hAnsi="Arial" w:cs="Arial"/>
          <w:sz w:val="18"/>
          <w:szCs w:val="18"/>
        </w:rPr>
        <w:t>means a thermal oxidation system using an open (without enclosure) flame.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Gasoline </w:t>
      </w:r>
      <w:r w:rsidRPr="00533D50">
        <w:rPr>
          <w:rFonts w:ascii="Arial" w:eastAsia="Times New Roman" w:hAnsi="Arial" w:cs="Arial"/>
          <w:sz w:val="18"/>
          <w:szCs w:val="18"/>
        </w:rPr>
        <w:t>means any petroleum distillate or petroleum distillate/alcohol blend having a Reid vapor pressure of 27.6 kilopascals or greater, which is used as a fuel for internal combustion engines.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Gasoline cargo tank </w:t>
      </w:r>
      <w:r w:rsidRPr="00533D50">
        <w:rPr>
          <w:rFonts w:ascii="Arial" w:eastAsia="Times New Roman" w:hAnsi="Arial" w:cs="Arial"/>
          <w:sz w:val="18"/>
          <w:szCs w:val="18"/>
        </w:rPr>
        <w:t>means a delivery tank truck or railcar which is loading gasoline or which has loaded gasoline on the immediately previous load.</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Gasoline storage tank or vessel </w:t>
      </w:r>
      <w:r w:rsidRPr="00533D50">
        <w:rPr>
          <w:rFonts w:ascii="Arial" w:eastAsia="Times New Roman" w:hAnsi="Arial" w:cs="Arial"/>
          <w:sz w:val="18"/>
          <w:szCs w:val="18"/>
        </w:rPr>
        <w:t>means each tank, vessel, reservoir, or container used for the storage of gasoline, but does not include:</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(1) Frames, housing, auxiliary supports, or other components that are not directly involved in the containment of gasoline or gasoline vapors;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(2) Subsurface caverns or porous rock reservoirs;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(3) Oil/water separators and sumps, including butane blending sample recovery tanks, used to collect drained material such that it can be pumped to storage or back into a process; or</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(4) Tanks or vessels permanently attached to mobile sources such as trucks, railcars, barges, or ships.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In gasoline service </w:t>
      </w:r>
      <w:r w:rsidRPr="00533D50">
        <w:rPr>
          <w:rFonts w:ascii="Arial" w:eastAsia="Times New Roman" w:hAnsi="Arial" w:cs="Arial"/>
          <w:sz w:val="18"/>
          <w:szCs w:val="18"/>
        </w:rPr>
        <w:t>means that a piece of equipment is used in a system that transfers gasoline or gasoline vapors.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Monthly </w:t>
      </w:r>
      <w:r w:rsidRPr="00533D50">
        <w:rPr>
          <w:rFonts w:ascii="Arial" w:eastAsia="Times New Roman" w:hAnsi="Arial" w:cs="Arial"/>
          <w:sz w:val="18"/>
          <w:szCs w:val="18"/>
        </w:rPr>
        <w:t>means once per calendar month at regular intervals of no less than 28 days and no more than 35 days.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Operating parameter value </w:t>
      </w:r>
      <w:r w:rsidRPr="00533D50">
        <w:rPr>
          <w:rFonts w:ascii="Arial" w:eastAsia="Times New Roman" w:hAnsi="Arial" w:cs="Arial"/>
          <w:sz w:val="18"/>
          <w:szCs w:val="18"/>
        </w:rPr>
        <w:t>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Pipeline breakout station </w:t>
      </w:r>
      <w:r w:rsidRPr="00533D50">
        <w:rPr>
          <w:rFonts w:ascii="Arial" w:eastAsia="Times New Roman" w:hAnsi="Arial" w:cs="Arial"/>
          <w:sz w:val="18"/>
          <w:szCs w:val="18"/>
        </w:rPr>
        <w:t>means a facility along a pipeline containing storage vessels used to relieve surges or receive and store gasoline from the pipeline for re-injection and continued transportation by pipeline or to other facilities.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Pipeline pumping station </w:t>
      </w:r>
      <w:r w:rsidRPr="00533D50">
        <w:rPr>
          <w:rFonts w:ascii="Arial" w:eastAsia="Times New Roman" w:hAnsi="Arial" w:cs="Arial"/>
          <w:sz w:val="18"/>
          <w:szCs w:val="18"/>
        </w:rPr>
        <w:t>means a facility along a pipeline containing pumps to maintain the desired pressure and flow of product through the pipeline, and not containing gasoline storage tanks other than surge control tanks.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Submerged filling </w:t>
      </w:r>
      <w:r w:rsidRPr="00533D50">
        <w:rPr>
          <w:rFonts w:ascii="Arial" w:eastAsia="Times New Roman" w:hAnsi="Arial" w:cs="Arial"/>
          <w:sz w:val="18"/>
          <w:szCs w:val="18"/>
        </w:rPr>
        <w:t>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Surge control tank or vessel </w:t>
      </w:r>
      <w:r w:rsidRPr="00533D50">
        <w:rPr>
          <w:rFonts w:ascii="Arial" w:eastAsia="Times New Roman" w:hAnsi="Arial" w:cs="Arial"/>
          <w:sz w:val="18"/>
          <w:szCs w:val="18"/>
        </w:rPr>
        <w:t>means, for the purposes of this subpart, those tanks or vessels used only for controlling pressure in a pipeline system during surges or other variations from normal operations.</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Vapor collection-equipped gasoline cargo tank </w:t>
      </w:r>
      <w:r w:rsidRPr="00533D50">
        <w:rPr>
          <w:rFonts w:ascii="Arial" w:eastAsia="Times New Roman" w:hAnsi="Arial" w:cs="Arial"/>
          <w:sz w:val="18"/>
          <w:szCs w:val="18"/>
        </w:rPr>
        <w:t>means a gasoline cargo tank that is outfitted with the equipment necessary to transfer vapors, displaced during the loading of gasoline into the cargo tank, to a vapor processor system.</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i/>
          <w:iCs/>
          <w:sz w:val="18"/>
          <w:szCs w:val="18"/>
        </w:rPr>
        <w:t xml:space="preserve">Vapor-tight gasoline cargo tank </w:t>
      </w:r>
      <w:r w:rsidRPr="00533D50">
        <w:rPr>
          <w:rFonts w:ascii="Arial" w:eastAsia="Times New Roman" w:hAnsi="Arial" w:cs="Arial"/>
          <w:sz w:val="18"/>
          <w:szCs w:val="18"/>
        </w:rPr>
        <w:t>means a gasoline cargo tank which has demonstrated within the 12 preceding months that it meets the annual certification test requirements in §63.11092(f).</w:t>
      </w:r>
    </w:p>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[73 FR 1933, Jan. 10, 2008, as amended at 76 FR 4178,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Table 1 to Subpart BBBBBB of Part 63—Applicability Criteria, Emission Limits, and Management Practices for Storage Tanks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87"/>
        <w:gridCol w:w="5603"/>
      </w:tblGrid>
      <w:tr w:rsidR="00533D50" w:rsidRPr="00533D50" w:rsidTr="00533D50">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Then you must . . .</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1. A gasoline storage tank meeting either of the following conditions:</w:t>
            </w:r>
            <w:r w:rsidRPr="00533D50">
              <w:rPr>
                <w:rFonts w:eastAsia="Times New Roman"/>
              </w:rPr>
              <w:br/>
              <w:t>(i) a capacity of less than 75 cubic meters (m</w:t>
            </w:r>
            <w:r w:rsidRPr="00533D50">
              <w:rPr>
                <w:rFonts w:eastAsia="Times New Roman"/>
                <w:vertAlign w:val="superscript"/>
              </w:rPr>
              <w:t>3</w:t>
            </w:r>
            <w:r w:rsidRPr="00533D50">
              <w:rPr>
                <w:rFonts w:eastAsia="Times New Roman"/>
              </w:rPr>
              <w:t>); or</w:t>
            </w:r>
            <w:r w:rsidRPr="00533D50">
              <w:rPr>
                <w:rFonts w:eastAsia="Times New Roman"/>
              </w:rPr>
              <w:br/>
              <w:t>(ii) a capacity of less than 151 m</w:t>
            </w:r>
            <w:r w:rsidRPr="00533D50">
              <w:rPr>
                <w:rFonts w:eastAsia="Times New Roman"/>
                <w:vertAlign w:val="superscript"/>
              </w:rPr>
              <w:t>3</w:t>
            </w:r>
            <w:r w:rsidRPr="00533D50">
              <w:rPr>
                <w:rFonts w:eastAsia="Times New Roman"/>
              </w:rPr>
              <w:t>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Equip each gasoline storage tank with a fixed roof that is mounted to the storage tank in a stationary manner, and maintain all openings in a closed position at all times when not in use.</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2. A gasoline storage tank with a capacity of greater than or equal to 75 m</w:t>
            </w:r>
            <w:r w:rsidRPr="00533D50">
              <w:rPr>
                <w:rFonts w:eastAsia="Times New Roman"/>
                <w:vertAlign w:val="superscript"/>
              </w:rPr>
              <w:t>3</w:t>
            </w:r>
            <w:r w:rsidRPr="00533D50">
              <w:rPr>
                <w:rFonts w:eastAsia="Times New Roman"/>
              </w:rPr>
              <w:t>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Do the following:</w:t>
            </w:r>
            <w:r w:rsidRPr="00533D50">
              <w:rPr>
                <w:rFonts w:eastAsia="Times New Roman"/>
              </w:rPr>
              <w:br/>
              <w:t>(a) Reduce emissions of total organic HAP or TOC by 95 weight-percent with a closed vent system and control device, as specified in §60.112b(a)(3) of this chapter; or</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(b) Equip each internal floating roof gasoline storage tank according to the requirements in §60.112b(a)(1) of this chapter, except for the secondary seal requirements under §60.112b(a)(1)(ii)(B) and the requirements in §60.112b(a)(1)(iv) through (ix) of this chapter; and</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[76 FR 4179,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Table 2 to Subpart BBBBBB of Part 63—Applicability Criteria, Emission Limits, and Management Practices for Loading Racks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488"/>
        <w:gridCol w:w="4902"/>
      </w:tblGrid>
      <w:tr w:rsidR="00533D50" w:rsidRPr="00533D50" w:rsidTr="00533D50">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Then you must . . .</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 Equip your loading rack(s) with a vapor collection system designed to collect the TOC vapors displaced from cargo tanks during product loading; and</w:t>
            </w:r>
            <w:r w:rsidRPr="00533D50">
              <w:rPr>
                <w:rFonts w:eastAsia="Times New Roman"/>
              </w:rPr>
              <w:br/>
              <w:t>(b) Reduce emissions of TOC to less than or equal to 80 mg/l of gasoline loaded into gasoline cargo tanks at the loading rack; and</w:t>
            </w:r>
            <w:r w:rsidRPr="00533D50">
              <w:rPr>
                <w:rFonts w:eastAsia="Times New Roman"/>
              </w:rPr>
              <w:br/>
              <w:t>(c) Design and operate the vapor collection system to prevent any TOC vapors collected at one loading rack or lane from passing through another loading rack or lane to the atmosphere; and</w:t>
            </w:r>
            <w:r w:rsidRPr="00533D50">
              <w:rPr>
                <w:rFonts w:eastAsia="Times New Roman"/>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 Use submerged filling with a submerged fill pipe that is no more than 6 inches from the bottom of the cargo tank; and</w:t>
            </w:r>
            <w:r w:rsidRPr="00533D50">
              <w:rPr>
                <w:rFonts w:eastAsia="Times New Roman"/>
              </w:rPr>
              <w:br/>
              <w:t>(b) Make records available within 24 hours of a request by the Administrator to document your gasoline throughput.</w:t>
            </w:r>
          </w:p>
        </w:tc>
      </w:tr>
    </w:tbl>
    <w:p w:rsidR="00533D50" w:rsidRPr="00533D50" w:rsidRDefault="00533D50" w:rsidP="00533D50">
      <w:pPr>
        <w:spacing w:before="100" w:beforeAutospacing="1" w:after="100" w:afterAutospacing="1" w:line="240" w:lineRule="auto"/>
        <w:rPr>
          <w:rFonts w:ascii="Arial" w:eastAsia="Times New Roman" w:hAnsi="Arial" w:cs="Arial"/>
          <w:sz w:val="18"/>
          <w:szCs w:val="18"/>
        </w:rPr>
      </w:pPr>
      <w:r w:rsidRPr="00533D50">
        <w:rPr>
          <w:rFonts w:ascii="Arial" w:eastAsia="Times New Roman" w:hAnsi="Arial" w:cs="Arial"/>
          <w:sz w:val="18"/>
          <w:szCs w:val="18"/>
        </w:rPr>
        <w:t>[76 FR 4179, Jan. 24, 2011]</w:t>
      </w:r>
    </w:p>
    <w:p w:rsidR="00533D50" w:rsidRPr="00533D50" w:rsidRDefault="00533D50" w:rsidP="00533D50">
      <w:pPr>
        <w:spacing w:before="100" w:beforeAutospacing="1" w:after="100" w:afterAutospacing="1" w:line="240" w:lineRule="auto"/>
        <w:outlineLvl w:val="4"/>
        <w:rPr>
          <w:rFonts w:ascii="Arial" w:eastAsia="Times New Roman" w:hAnsi="Arial" w:cs="Arial"/>
          <w:b/>
          <w:bCs/>
          <w:sz w:val="20"/>
          <w:szCs w:val="20"/>
        </w:rPr>
      </w:pPr>
      <w:r w:rsidRPr="00533D50">
        <w:rPr>
          <w:rFonts w:ascii="Arial" w:eastAsia="Times New Roman" w:hAnsi="Arial" w:cs="Arial"/>
          <w:b/>
          <w:bCs/>
          <w:sz w:val="20"/>
          <w:szCs w:val="20"/>
        </w:rPr>
        <w:t>Table 3 to Subpart BBBBBB of Part 63—Applicability of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36"/>
        <w:gridCol w:w="2860"/>
        <w:gridCol w:w="3020"/>
        <w:gridCol w:w="1774"/>
      </w:tblGrid>
      <w:tr w:rsidR="00533D50" w:rsidRPr="00533D50" w:rsidTr="00533D50">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33D50" w:rsidRPr="00533D50" w:rsidRDefault="00533D50" w:rsidP="00533D50">
            <w:pPr>
              <w:spacing w:after="0" w:line="240" w:lineRule="auto"/>
              <w:jc w:val="center"/>
              <w:rPr>
                <w:rFonts w:eastAsia="Times New Roman"/>
                <w:b/>
                <w:bCs/>
              </w:rPr>
            </w:pPr>
            <w:r w:rsidRPr="00533D50">
              <w:rPr>
                <w:rFonts w:eastAsia="Times New Roman"/>
                <w:b/>
                <w:bCs/>
              </w:rPr>
              <w:t>Applies to subpart BBBBBB</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specific requirements given in §63.11081.</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§63.1(c)(2)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§63.11081(b) of subpart BBBBBB exempts identified area sources from the obligation to obtain title V operating permits.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additional definitions in §63.11100.</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§63.6(b)(1)–(4)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§63.6(b)(5)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§63.6(b)(6)</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§63.6(b)(7)</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§63.6(c)(1)–(2)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 §63.11083 specifies the compliance dates.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§63.6(c)(3)–(4)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§63.6(c)(5)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63.6(e)(1)(i)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xml:space="preserve">No. </w:t>
            </w:r>
            <w:r w:rsidRPr="00533D50">
              <w:rPr>
                <w:rFonts w:eastAsia="Times New Roman"/>
                <w:i/>
                <w:iCs/>
              </w:rPr>
              <w:t>See</w:t>
            </w:r>
            <w:r w:rsidRPr="00533D50">
              <w:rPr>
                <w:rFonts w:eastAsia="Times New Roman"/>
              </w:rPr>
              <w:t xml:space="preserve"> §63.11085 for general duty requirement.</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§63.6(e)(2)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§63.6(e)(3)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§63.6(f)(1)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§63.6(f)(2)–(3)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§63.6(g)(1)–(3)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§63.6(h)(2)(i)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§63.6(h)(6)</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§63.6(h)(7)(i)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§63.6(h)(7)(v)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§63.6(h)(8)</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§63.6(h)(9)</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§63.6(j)</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§63.7(a)(2)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§63.7(a)(3)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§63.7(b)(1)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§63.7(b)(2)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§63.7(c)</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63.7(e)(1)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 §63.11092(g) specifies conditions for conducting performance tests.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§63.7(e)(2)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§63.7(e)(3)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except for testing conducted under §63.11092(a).</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§63.7(f)</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§63.7(h)</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§63.8(a)(1)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§63.8(a)(2)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§63.8(a)(3)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§63.8(a)(4)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§63.8(b)(1)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§63.8(b)(2)–(3)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§63.8(c)(1)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§63.8(c)(1)(i)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§63.8(f) (1)–(5)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§63.8(f)(6)</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§63.8(g)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§63.9(b) (1)–(2), (4)–(5)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§63.9(c)</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§63.9(f)</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however, there are no opacity standards.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§63.9(h)(1)–(6)</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except as specified in §63.11095(a)(4); also, there are no opacity standards.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§63.9(j)</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xml:space="preserve">No. </w:t>
            </w:r>
            <w:r w:rsidRPr="00533D50">
              <w:rPr>
                <w:rFonts w:eastAsia="Times New Roman"/>
                <w:i/>
                <w:iCs/>
              </w:rPr>
              <w:t>See</w:t>
            </w:r>
            <w:r w:rsidRPr="00533D50">
              <w:rPr>
                <w:rFonts w:eastAsia="Times New Roman"/>
              </w:rPr>
              <w:t xml:space="preserve"> §63.11094(g) for recordkeeping of (1) occurrence and duration and (2) actions taken during malfunction.</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§63.10(b)(3)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§63.10(c)</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§63.10(d)(1)</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§63.10(d)(2)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§63.10(d)(3)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§63.10(d)(4)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§63.10(d)(5)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 xml:space="preserve">No. </w:t>
            </w:r>
            <w:r w:rsidRPr="00533D50">
              <w:rPr>
                <w:rFonts w:eastAsia="Times New Roman"/>
                <w:i/>
                <w:iCs/>
              </w:rPr>
              <w:t>See</w:t>
            </w:r>
            <w:r w:rsidRPr="00533D50">
              <w:rPr>
                <w:rFonts w:eastAsia="Times New Roman"/>
              </w:rPr>
              <w:t xml:space="preserve"> §63.11095(d) for malfunction reporting requirements.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No.</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note that §63.11095 specifies excess emission events for this subpart.</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§63.11095 specifies excess emission events for this subpart.</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§63.10(e)(4)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§63.10(f)</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§63.11(b)</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 the section references §63.11(b).</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§63.12</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§63.13</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§63.14</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r w:rsidR="00533D50" w:rsidRPr="00533D50" w:rsidTr="00533D50">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§63.15</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533D50" w:rsidRPr="00533D50" w:rsidRDefault="00533D50" w:rsidP="00533D50">
            <w:pPr>
              <w:spacing w:after="0" w:line="240" w:lineRule="auto"/>
              <w:rPr>
                <w:rFonts w:eastAsia="Times New Roman"/>
              </w:rPr>
            </w:pPr>
            <w:r w:rsidRPr="00533D50">
              <w:rPr>
                <w:rFonts w:eastAsia="Times New Roman"/>
              </w:rPr>
              <w:t>Yes.</w:t>
            </w:r>
          </w:p>
        </w:tc>
      </w:tr>
    </w:tbl>
    <w:p w:rsidR="00C07E2C" w:rsidRDefault="00C07E2C" w:rsidP="00A86494">
      <w:pPr>
        <w:spacing w:after="0"/>
      </w:pPr>
    </w:p>
    <w:sectPr w:rsidR="00C07E2C" w:rsidSect="002D027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533D50"/>
    <w:rsid w:val="00247F16"/>
    <w:rsid w:val="002626B7"/>
    <w:rsid w:val="002D0273"/>
    <w:rsid w:val="00533D50"/>
    <w:rsid w:val="0065572F"/>
    <w:rsid w:val="006F60E0"/>
    <w:rsid w:val="008D0E25"/>
    <w:rsid w:val="008E0772"/>
    <w:rsid w:val="0094508A"/>
    <w:rsid w:val="00972903"/>
    <w:rsid w:val="00A31530"/>
    <w:rsid w:val="00A86494"/>
    <w:rsid w:val="00AC14D3"/>
    <w:rsid w:val="00C07E2C"/>
    <w:rsid w:val="00C73013"/>
    <w:rsid w:val="00EA4543"/>
    <w:rsid w:val="00F500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533D50"/>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33D50"/>
    <w:rPr>
      <w:rFonts w:eastAsia="Times New Roman"/>
      <w:b/>
      <w:bCs/>
      <w:sz w:val="20"/>
      <w:szCs w:val="20"/>
    </w:rPr>
  </w:style>
  <w:style w:type="character" w:styleId="Hyperlink">
    <w:name w:val="Hyperlink"/>
    <w:basedOn w:val="DefaultParagraphFont"/>
    <w:uiPriority w:val="99"/>
    <w:semiHidden/>
    <w:unhideWhenUsed/>
    <w:rsid w:val="00533D50"/>
    <w:rPr>
      <w:color w:val="0000FF"/>
      <w:u w:val="single"/>
    </w:rPr>
  </w:style>
  <w:style w:type="character" w:styleId="FollowedHyperlink">
    <w:name w:val="FollowedHyperlink"/>
    <w:basedOn w:val="DefaultParagraphFont"/>
    <w:uiPriority w:val="99"/>
    <w:semiHidden/>
    <w:unhideWhenUsed/>
    <w:rsid w:val="00533D50"/>
    <w:rPr>
      <w:color w:val="800080"/>
      <w:u w:val="single"/>
    </w:rPr>
  </w:style>
  <w:style w:type="paragraph" w:customStyle="1" w:styleId="td">
    <w:name w:val="td"/>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tr">
    <w:name w:val="tr"/>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h1">
    <w:name w:val="h1"/>
    <w:basedOn w:val="Normal"/>
    <w:rsid w:val="00533D50"/>
    <w:pPr>
      <w:spacing w:before="100" w:beforeAutospacing="1" w:after="100" w:afterAutospacing="1" w:line="360" w:lineRule="atLeast"/>
    </w:pPr>
    <w:rPr>
      <w:rFonts w:ascii="Arial" w:eastAsia="Times New Roman" w:hAnsi="Arial" w:cs="Arial"/>
      <w:b/>
      <w:bCs/>
    </w:rPr>
  </w:style>
  <w:style w:type="paragraph" w:customStyle="1" w:styleId="h2">
    <w:name w:val="h2"/>
    <w:basedOn w:val="Normal"/>
    <w:rsid w:val="00533D50"/>
    <w:pPr>
      <w:spacing w:before="100" w:beforeAutospacing="1" w:after="0" w:line="240" w:lineRule="auto"/>
    </w:pPr>
    <w:rPr>
      <w:rFonts w:ascii="Arial" w:eastAsia="Times New Roman" w:hAnsi="Arial" w:cs="Arial"/>
      <w:b/>
      <w:bCs/>
      <w:color w:val="000000"/>
      <w:sz w:val="21"/>
      <w:szCs w:val="21"/>
    </w:rPr>
  </w:style>
  <w:style w:type="paragraph" w:customStyle="1" w:styleId="h3">
    <w:name w:val="h3"/>
    <w:basedOn w:val="Normal"/>
    <w:rsid w:val="00533D50"/>
    <w:pPr>
      <w:spacing w:before="100" w:beforeAutospacing="1" w:after="0" w:line="240" w:lineRule="auto"/>
    </w:pPr>
    <w:rPr>
      <w:rFonts w:ascii="Arial" w:eastAsia="Times New Roman" w:hAnsi="Arial" w:cs="Arial"/>
      <w:b/>
      <w:bCs/>
      <w:sz w:val="18"/>
      <w:szCs w:val="18"/>
    </w:rPr>
  </w:style>
  <w:style w:type="paragraph" w:customStyle="1" w:styleId="Caption1">
    <w:name w:val="Caption1"/>
    <w:basedOn w:val="Normal"/>
    <w:rsid w:val="00533D50"/>
    <w:pPr>
      <w:spacing w:before="100" w:beforeAutospacing="1" w:after="0" w:line="240" w:lineRule="auto"/>
    </w:pPr>
    <w:rPr>
      <w:rFonts w:ascii="Arial" w:eastAsia="Times New Roman" w:hAnsi="Arial" w:cs="Arial"/>
      <w:b/>
      <w:bCs/>
      <w:sz w:val="18"/>
      <w:szCs w:val="18"/>
    </w:rPr>
  </w:style>
  <w:style w:type="paragraph" w:customStyle="1" w:styleId="Footer1">
    <w:name w:val="Footer1"/>
    <w:basedOn w:val="Normal"/>
    <w:rsid w:val="00533D50"/>
    <w:pPr>
      <w:spacing w:before="100" w:beforeAutospacing="1" w:after="100" w:afterAutospacing="1" w:line="240" w:lineRule="auto"/>
      <w:jc w:val="center"/>
    </w:pPr>
    <w:rPr>
      <w:rFonts w:ascii="Arial" w:eastAsia="Times New Roman" w:hAnsi="Arial" w:cs="Arial"/>
      <w:sz w:val="15"/>
      <w:szCs w:val="15"/>
    </w:rPr>
  </w:style>
  <w:style w:type="paragraph" w:customStyle="1" w:styleId="top">
    <w:name w:val="top"/>
    <w:basedOn w:val="Normal"/>
    <w:rsid w:val="00533D50"/>
    <w:pPr>
      <w:spacing w:before="100" w:beforeAutospacing="1" w:after="100" w:afterAutospacing="1" w:line="240" w:lineRule="auto"/>
      <w:jc w:val="right"/>
    </w:pPr>
    <w:rPr>
      <w:rFonts w:ascii="Arial" w:eastAsia="Times New Roman" w:hAnsi="Arial" w:cs="Arial"/>
      <w:sz w:val="15"/>
      <w:szCs w:val="15"/>
    </w:rPr>
  </w:style>
  <w:style w:type="paragraph" w:customStyle="1" w:styleId="tablespacing">
    <w:name w:val="tablespacing"/>
    <w:basedOn w:val="Normal"/>
    <w:rsid w:val="00533D50"/>
    <w:pPr>
      <w:spacing w:before="100" w:beforeAutospacing="1" w:after="100" w:afterAutospacing="1" w:line="240" w:lineRule="auto"/>
    </w:pPr>
    <w:rPr>
      <w:rFonts w:eastAsia="Times New Roman"/>
    </w:rPr>
  </w:style>
  <w:style w:type="paragraph" w:customStyle="1" w:styleId="fontsmall">
    <w:name w:val="fontsmall"/>
    <w:basedOn w:val="Normal"/>
    <w:rsid w:val="00533D50"/>
    <w:pPr>
      <w:spacing w:before="100" w:beforeAutospacing="1" w:after="100" w:afterAutospacing="1" w:line="240" w:lineRule="auto"/>
    </w:pPr>
    <w:rPr>
      <w:rFonts w:ascii="Arial" w:eastAsia="Times New Roman" w:hAnsi="Arial" w:cs="Arial"/>
      <w:sz w:val="17"/>
      <w:szCs w:val="17"/>
    </w:rPr>
  </w:style>
  <w:style w:type="paragraph" w:customStyle="1" w:styleId="navigation">
    <w:name w:val="navigation"/>
    <w:basedOn w:val="Normal"/>
    <w:rsid w:val="00533D50"/>
    <w:pPr>
      <w:spacing w:before="100" w:beforeAutospacing="1" w:after="100" w:afterAutospacing="1" w:line="240" w:lineRule="auto"/>
    </w:pPr>
    <w:rPr>
      <w:rFonts w:ascii="Arial" w:eastAsia="Times New Roman" w:hAnsi="Arial" w:cs="Arial"/>
      <w:sz w:val="15"/>
      <w:szCs w:val="15"/>
    </w:rPr>
  </w:style>
  <w:style w:type="paragraph" w:customStyle="1" w:styleId="invisiblelink">
    <w:name w:val="invisiblelink"/>
    <w:basedOn w:val="Normal"/>
    <w:rsid w:val="00533D50"/>
    <w:pPr>
      <w:spacing w:before="100" w:beforeAutospacing="1" w:after="100" w:afterAutospacing="1" w:line="240" w:lineRule="auto"/>
    </w:pPr>
    <w:rPr>
      <w:rFonts w:ascii="Arial" w:eastAsia="Times New Roman" w:hAnsi="Arial" w:cs="Arial"/>
      <w:color w:val="FFFFFF"/>
      <w:sz w:val="15"/>
      <w:szCs w:val="15"/>
    </w:rPr>
  </w:style>
  <w:style w:type="paragraph" w:customStyle="1" w:styleId="toplogo">
    <w:name w:val="toplogo"/>
    <w:basedOn w:val="Normal"/>
    <w:rsid w:val="00533D50"/>
    <w:pPr>
      <w:spacing w:before="100" w:beforeAutospacing="1" w:after="0" w:line="240" w:lineRule="auto"/>
    </w:pPr>
    <w:rPr>
      <w:rFonts w:ascii="Arial" w:eastAsia="Times New Roman" w:hAnsi="Arial" w:cs="Arial"/>
      <w:b/>
      <w:bCs/>
      <w:sz w:val="21"/>
      <w:szCs w:val="21"/>
    </w:rPr>
  </w:style>
  <w:style w:type="paragraph" w:customStyle="1" w:styleId="search">
    <w:name w:val="search"/>
    <w:basedOn w:val="Normal"/>
    <w:rsid w:val="00533D50"/>
    <w:pPr>
      <w:spacing w:before="100" w:beforeAutospacing="1" w:after="100" w:afterAutospacing="1" w:line="240" w:lineRule="auto"/>
    </w:pPr>
    <w:rPr>
      <w:rFonts w:ascii="Arial" w:eastAsia="Times New Roman" w:hAnsi="Arial" w:cs="Arial"/>
      <w:sz w:val="15"/>
      <w:szCs w:val="15"/>
    </w:rPr>
  </w:style>
  <w:style w:type="paragraph" w:customStyle="1" w:styleId="side">
    <w:name w:val="side"/>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subparagraph">
    <w:name w:val="subparagraph"/>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head">
    <w:name w:val="head"/>
    <w:basedOn w:val="Normal"/>
    <w:rsid w:val="00533D50"/>
    <w:pPr>
      <w:spacing w:before="100" w:beforeAutospacing="1" w:after="100" w:afterAutospacing="1" w:line="240" w:lineRule="auto"/>
    </w:pPr>
    <w:rPr>
      <w:rFonts w:ascii="Arial" w:eastAsia="Times New Roman" w:hAnsi="Arial" w:cs="Arial"/>
      <w:b/>
      <w:bCs/>
      <w:sz w:val="27"/>
      <w:szCs w:val="27"/>
    </w:rPr>
  </w:style>
  <w:style w:type="paragraph" w:customStyle="1" w:styleId="recentupdateslink">
    <w:name w:val="recentupdateslink"/>
    <w:basedOn w:val="Normal"/>
    <w:rsid w:val="00533D50"/>
    <w:pPr>
      <w:spacing w:before="100" w:beforeAutospacing="1" w:after="100" w:afterAutospacing="1" w:line="240" w:lineRule="auto"/>
    </w:pPr>
    <w:rPr>
      <w:rFonts w:ascii="Arial" w:eastAsia="Times New Roman" w:hAnsi="Arial" w:cs="Arial"/>
      <w:b/>
      <w:bCs/>
      <w:sz w:val="18"/>
      <w:szCs w:val="18"/>
    </w:rPr>
  </w:style>
  <w:style w:type="paragraph" w:customStyle="1" w:styleId="updatetitle">
    <w:name w:val="updatetitle"/>
    <w:basedOn w:val="Normal"/>
    <w:rsid w:val="00533D50"/>
    <w:pPr>
      <w:spacing w:before="100" w:beforeAutospacing="1" w:after="100" w:afterAutospacing="1" w:line="240" w:lineRule="auto"/>
      <w:ind w:firstLine="100"/>
    </w:pPr>
    <w:rPr>
      <w:rFonts w:ascii="Arial" w:eastAsia="Times New Roman" w:hAnsi="Arial" w:cs="Arial"/>
      <w:b/>
      <w:bCs/>
      <w:color w:val="FF0000"/>
      <w:sz w:val="21"/>
      <w:szCs w:val="21"/>
    </w:rPr>
  </w:style>
  <w:style w:type="paragraph" w:customStyle="1" w:styleId="updatebodytest">
    <w:name w:val="updatebodytest"/>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updatebold">
    <w:name w:val="updatebold"/>
    <w:basedOn w:val="Normal"/>
    <w:rsid w:val="00533D50"/>
    <w:pPr>
      <w:spacing w:before="100" w:beforeAutospacing="1" w:after="100" w:afterAutospacing="1" w:line="240" w:lineRule="auto"/>
    </w:pPr>
    <w:rPr>
      <w:rFonts w:ascii="Arial" w:eastAsia="Times New Roman" w:hAnsi="Arial" w:cs="Arial"/>
      <w:b/>
      <w:bCs/>
      <w:sz w:val="18"/>
      <w:szCs w:val="18"/>
    </w:rPr>
  </w:style>
  <w:style w:type="paragraph" w:customStyle="1" w:styleId="body">
    <w:name w:val="body"/>
    <w:basedOn w:val="Normal"/>
    <w:rsid w:val="00533D50"/>
    <w:pPr>
      <w:shd w:val="clear" w:color="auto" w:fill="FFFFFF"/>
      <w:spacing w:before="100" w:beforeAutospacing="1" w:after="100" w:afterAutospacing="1" w:line="240" w:lineRule="auto"/>
    </w:pPr>
    <w:rPr>
      <w:rFonts w:ascii="Arial" w:eastAsia="Times New Roman" w:hAnsi="Arial" w:cs="Arial"/>
      <w:color w:val="000000"/>
    </w:rPr>
  </w:style>
  <w:style w:type="paragraph" w:customStyle="1" w:styleId="a">
    <w:name w:val="a"/>
    <w:basedOn w:val="Normal"/>
    <w:rsid w:val="00533D50"/>
    <w:pPr>
      <w:spacing w:before="100" w:beforeAutospacing="1" w:after="100" w:afterAutospacing="1" w:line="240" w:lineRule="auto"/>
    </w:pPr>
    <w:rPr>
      <w:rFonts w:eastAsia="Times New Roman"/>
      <w:u w:val="single"/>
    </w:rPr>
  </w:style>
  <w:style w:type="paragraph" w:customStyle="1" w:styleId="p">
    <w:name w:val="p"/>
    <w:basedOn w:val="Normal"/>
    <w:rsid w:val="00533D50"/>
    <w:pPr>
      <w:spacing w:before="100" w:beforeAutospacing="1" w:after="100" w:afterAutospacing="1" w:line="240" w:lineRule="auto"/>
      <w:jc w:val="center"/>
    </w:pPr>
    <w:rPr>
      <w:rFonts w:ascii="Arial" w:eastAsia="Times New Roman" w:hAnsi="Arial" w:cs="Arial"/>
    </w:rPr>
  </w:style>
  <w:style w:type="paragraph" w:customStyle="1" w:styleId="title">
    <w:name w:val="title"/>
    <w:basedOn w:val="Normal"/>
    <w:rsid w:val="00533D50"/>
    <w:pPr>
      <w:spacing w:before="100" w:beforeAutospacing="1" w:after="100" w:afterAutospacing="1" w:line="240" w:lineRule="auto"/>
    </w:pPr>
    <w:rPr>
      <w:rFonts w:ascii="Arial" w:eastAsia="Times New Roman" w:hAnsi="Arial" w:cs="Arial"/>
      <w:b/>
      <w:bCs/>
      <w:sz w:val="30"/>
      <w:szCs w:val="30"/>
    </w:rPr>
  </w:style>
  <w:style w:type="paragraph" w:customStyle="1" w:styleId="subtitle">
    <w:name w:val="subtitle"/>
    <w:basedOn w:val="Normal"/>
    <w:rsid w:val="00533D50"/>
    <w:pPr>
      <w:spacing w:before="100" w:beforeAutospacing="1" w:after="100" w:afterAutospacing="1" w:line="240" w:lineRule="auto"/>
    </w:pPr>
    <w:rPr>
      <w:rFonts w:ascii="Arial" w:eastAsia="Times New Roman" w:hAnsi="Arial" w:cs="Arial"/>
      <w:b/>
      <w:bCs/>
      <w:sz w:val="21"/>
      <w:szCs w:val="21"/>
    </w:rPr>
  </w:style>
  <w:style w:type="paragraph" w:customStyle="1" w:styleId="mainheader">
    <w:name w:val="mainheader"/>
    <w:basedOn w:val="Normal"/>
    <w:rsid w:val="00533D50"/>
    <w:pPr>
      <w:spacing w:before="100" w:beforeAutospacing="1" w:after="100" w:afterAutospacing="1" w:line="240" w:lineRule="auto"/>
    </w:pPr>
    <w:rPr>
      <w:rFonts w:eastAsia="Times New Roman"/>
      <w:b/>
      <w:bCs/>
      <w:sz w:val="31"/>
      <w:szCs w:val="31"/>
    </w:rPr>
  </w:style>
  <w:style w:type="paragraph" w:customStyle="1" w:styleId="chapter">
    <w:name w:val="chapter"/>
    <w:basedOn w:val="Normal"/>
    <w:rsid w:val="00533D50"/>
    <w:pPr>
      <w:spacing w:before="100" w:beforeAutospacing="1" w:after="100" w:afterAutospacing="1" w:line="240" w:lineRule="auto"/>
    </w:pPr>
    <w:rPr>
      <w:rFonts w:ascii="Arial" w:eastAsia="Times New Roman" w:hAnsi="Arial" w:cs="Arial"/>
      <w:b/>
      <w:bCs/>
    </w:rPr>
  </w:style>
  <w:style w:type="paragraph" w:customStyle="1" w:styleId="subchapter">
    <w:name w:val="subchapter"/>
    <w:basedOn w:val="Normal"/>
    <w:rsid w:val="00533D50"/>
    <w:pPr>
      <w:spacing w:before="100" w:beforeAutospacing="1" w:after="100" w:afterAutospacing="1" w:line="240" w:lineRule="auto"/>
    </w:pPr>
    <w:rPr>
      <w:rFonts w:ascii="Arial" w:eastAsia="Times New Roman" w:hAnsi="Arial" w:cs="Arial"/>
      <w:b/>
      <w:bCs/>
      <w:sz w:val="21"/>
      <w:szCs w:val="21"/>
    </w:rPr>
  </w:style>
  <w:style w:type="paragraph" w:customStyle="1" w:styleId="part">
    <w:name w:val="part"/>
    <w:basedOn w:val="Normal"/>
    <w:rsid w:val="00533D50"/>
    <w:pPr>
      <w:spacing w:before="100" w:beforeAutospacing="1" w:after="100" w:afterAutospacing="1" w:line="240" w:lineRule="auto"/>
    </w:pPr>
    <w:rPr>
      <w:rFonts w:eastAsia="Times New Roman"/>
      <w:b/>
      <w:bCs/>
    </w:rPr>
  </w:style>
  <w:style w:type="paragraph" w:customStyle="1" w:styleId="subpart">
    <w:name w:val="subpart"/>
    <w:basedOn w:val="Normal"/>
    <w:rsid w:val="00533D50"/>
    <w:pPr>
      <w:shd w:val="clear" w:color="auto" w:fill="FFFFFF"/>
      <w:spacing w:before="100" w:beforeAutospacing="1" w:after="100" w:afterAutospacing="1" w:line="240" w:lineRule="auto"/>
    </w:pPr>
    <w:rPr>
      <w:rFonts w:eastAsia="Times New Roman"/>
      <w:color w:val="0000FF"/>
      <w:sz w:val="22"/>
      <w:szCs w:val="22"/>
    </w:rPr>
  </w:style>
  <w:style w:type="paragraph" w:customStyle="1" w:styleId="nopart">
    <w:name w:val="nopart"/>
    <w:basedOn w:val="Normal"/>
    <w:rsid w:val="00533D50"/>
    <w:pPr>
      <w:shd w:val="clear" w:color="auto" w:fill="FFFFFF"/>
      <w:spacing w:before="100" w:beforeAutospacing="1" w:after="100" w:afterAutospacing="1" w:line="240" w:lineRule="auto"/>
    </w:pPr>
    <w:rPr>
      <w:rFonts w:eastAsia="Times New Roman"/>
      <w:color w:val="008000"/>
    </w:rPr>
  </w:style>
  <w:style w:type="paragraph" w:customStyle="1" w:styleId="reserved">
    <w:name w:val="reserved"/>
    <w:basedOn w:val="Normal"/>
    <w:rsid w:val="00533D50"/>
    <w:pPr>
      <w:shd w:val="clear" w:color="auto" w:fill="FFFFFF"/>
      <w:spacing w:before="100" w:beforeAutospacing="1" w:after="100" w:afterAutospacing="1" w:line="240" w:lineRule="auto"/>
    </w:pPr>
    <w:rPr>
      <w:rFonts w:eastAsia="Times New Roman"/>
      <w:color w:val="FF0000"/>
    </w:rPr>
  </w:style>
  <w:style w:type="paragraph" w:customStyle="1" w:styleId="menu">
    <w:name w:val="menu"/>
    <w:basedOn w:val="Normal"/>
    <w:rsid w:val="00533D50"/>
    <w:pPr>
      <w:spacing w:before="100" w:beforeAutospacing="1" w:after="100" w:afterAutospacing="1" w:line="240" w:lineRule="auto"/>
    </w:pPr>
    <w:rPr>
      <w:rFonts w:ascii="Arial" w:eastAsia="Times New Roman" w:hAnsi="Arial" w:cs="Arial"/>
      <w:sz w:val="18"/>
      <w:szCs w:val="18"/>
    </w:rPr>
  </w:style>
  <w:style w:type="paragraph" w:customStyle="1" w:styleId="hilite">
    <w:name w:val="hilite"/>
    <w:basedOn w:val="Normal"/>
    <w:rsid w:val="00533D50"/>
    <w:pPr>
      <w:spacing w:before="100" w:beforeAutospacing="1" w:after="100" w:afterAutospacing="1" w:line="240" w:lineRule="auto"/>
    </w:pPr>
    <w:rPr>
      <w:rFonts w:eastAsia="Times New Roman"/>
      <w:b/>
      <w:bCs/>
      <w:color w:val="CC0000"/>
    </w:rPr>
  </w:style>
  <w:style w:type="paragraph" w:customStyle="1" w:styleId="gpotblhang">
    <w:name w:val="gpotbl_hang"/>
    <w:basedOn w:val="Normal"/>
    <w:rsid w:val="00533D50"/>
    <w:pPr>
      <w:spacing w:before="100" w:beforeAutospacing="1" w:after="100" w:afterAutospacing="1" w:line="240" w:lineRule="auto"/>
      <w:ind w:hanging="480"/>
    </w:pPr>
    <w:rPr>
      <w:rFonts w:eastAsia="Times New Roman"/>
    </w:rPr>
  </w:style>
  <w:style w:type="paragraph" w:customStyle="1" w:styleId="gpotbltable">
    <w:name w:val="gpotbl_table"/>
    <w:basedOn w:val="Normal"/>
    <w:rsid w:val="00533D50"/>
    <w:pPr>
      <w:spacing w:before="100" w:beforeAutospacing="1" w:after="100" w:afterAutospacing="1" w:line="240" w:lineRule="auto"/>
    </w:pPr>
    <w:rPr>
      <w:rFonts w:eastAsia="Times New Roman"/>
    </w:rPr>
  </w:style>
  <w:style w:type="paragraph" w:customStyle="1" w:styleId="gpotbldiv">
    <w:name w:val="gpotbl_div"/>
    <w:basedOn w:val="Normal"/>
    <w:rsid w:val="00533D50"/>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eastAsia="Times New Roman"/>
    </w:rPr>
  </w:style>
  <w:style w:type="paragraph" w:customStyle="1" w:styleId="gpotbltitle">
    <w:name w:val="gpotbl_title"/>
    <w:basedOn w:val="Normal"/>
    <w:rsid w:val="00533D50"/>
    <w:pPr>
      <w:spacing w:before="100" w:beforeAutospacing="1" w:after="100" w:afterAutospacing="1" w:line="240" w:lineRule="auto"/>
      <w:jc w:val="center"/>
    </w:pPr>
    <w:rPr>
      <w:rFonts w:eastAsia="Times New Roman"/>
      <w:b/>
      <w:bCs/>
    </w:rPr>
  </w:style>
  <w:style w:type="paragraph" w:customStyle="1" w:styleId="gpotbldescription">
    <w:name w:val="gpotbl_description"/>
    <w:basedOn w:val="Normal"/>
    <w:rsid w:val="00533D50"/>
    <w:pPr>
      <w:spacing w:before="100" w:beforeAutospacing="1" w:after="100" w:afterAutospacing="1" w:line="240" w:lineRule="auto"/>
      <w:jc w:val="center"/>
    </w:pPr>
    <w:rPr>
      <w:rFonts w:eastAsia="Times New Roman"/>
    </w:rPr>
  </w:style>
  <w:style w:type="paragraph" w:customStyle="1" w:styleId="gpotblcell">
    <w:name w:val="gpotbl_cell"/>
    <w:basedOn w:val="Normal"/>
    <w:rsid w:val="00533D5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eastAsia="Times New Roman"/>
    </w:rPr>
  </w:style>
  <w:style w:type="paragraph" w:customStyle="1" w:styleId="gpotblcolhed">
    <w:name w:val="gpotbl_colhed"/>
    <w:basedOn w:val="Normal"/>
    <w:rsid w:val="00533D5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eastAsia="Times New Roman"/>
    </w:rPr>
  </w:style>
  <w:style w:type="paragraph" w:customStyle="1" w:styleId="white">
    <w:name w:val="white"/>
    <w:basedOn w:val="Normal"/>
    <w:rsid w:val="00533D50"/>
    <w:pPr>
      <w:spacing w:after="0" w:line="240" w:lineRule="auto"/>
    </w:pPr>
    <w:rPr>
      <w:rFonts w:eastAsia="Times New Roman"/>
      <w:color w:val="FFFFFF"/>
    </w:rPr>
  </w:style>
  <w:style w:type="character" w:customStyle="1" w:styleId="updatebodytest1">
    <w:name w:val="updatebodytest1"/>
    <w:basedOn w:val="DefaultParagraphFont"/>
    <w:rsid w:val="00533D50"/>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533D50"/>
    <w:pPr>
      <w:spacing w:before="100" w:beforeAutospacing="1" w:after="100" w:afterAutospacing="1" w:line="240" w:lineRule="auto"/>
    </w:pPr>
    <w:rPr>
      <w:rFonts w:eastAsia="Times New Roman"/>
    </w:rPr>
  </w:style>
  <w:style w:type="character" w:styleId="Emphasis">
    <w:name w:val="Emphasis"/>
    <w:basedOn w:val="DefaultParagraphFont"/>
    <w:uiPriority w:val="20"/>
    <w:qFormat/>
    <w:rsid w:val="00533D50"/>
    <w:rPr>
      <w:i/>
      <w:iCs/>
    </w:rPr>
  </w:style>
</w:styles>
</file>

<file path=word/webSettings.xml><?xml version="1.0" encoding="utf-8"?>
<w:webSettings xmlns:r="http://schemas.openxmlformats.org/officeDocument/2006/relationships" xmlns:w="http://schemas.openxmlformats.org/wordprocessingml/2006/main">
  <w:divs>
    <w:div w:id="1549492275">
      <w:bodyDiv w:val="1"/>
      <w:marLeft w:val="0"/>
      <w:marRight w:val="0"/>
      <w:marTop w:val="0"/>
      <w:marBottom w:val="0"/>
      <w:divBdr>
        <w:top w:val="none" w:sz="0" w:space="0" w:color="auto"/>
        <w:left w:val="none" w:sz="0" w:space="0" w:color="auto"/>
        <w:bottom w:val="none" w:sz="0" w:space="0" w:color="auto"/>
        <w:right w:val="none" w:sz="0" w:space="0" w:color="auto"/>
      </w:divBdr>
      <w:divsChild>
        <w:div w:id="1921325450">
          <w:marLeft w:val="0"/>
          <w:marRight w:val="0"/>
          <w:marTop w:val="0"/>
          <w:marBottom w:val="0"/>
          <w:divBdr>
            <w:top w:val="none" w:sz="0" w:space="0" w:color="auto"/>
            <w:left w:val="none" w:sz="0" w:space="0" w:color="auto"/>
            <w:bottom w:val="none" w:sz="0" w:space="0" w:color="auto"/>
            <w:right w:val="none" w:sz="0" w:space="0" w:color="auto"/>
          </w:divBdr>
          <w:divsChild>
            <w:div w:id="1721711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9547605">
          <w:marLeft w:val="0"/>
          <w:marRight w:val="0"/>
          <w:marTop w:val="0"/>
          <w:marBottom w:val="0"/>
          <w:divBdr>
            <w:top w:val="none" w:sz="0" w:space="0" w:color="auto"/>
            <w:left w:val="none" w:sz="0" w:space="0" w:color="auto"/>
            <w:bottom w:val="none" w:sz="0" w:space="0" w:color="auto"/>
            <w:right w:val="none" w:sz="0" w:space="0" w:color="auto"/>
          </w:divBdr>
          <w:divsChild>
            <w:div w:id="16635103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9669150">
          <w:marLeft w:val="0"/>
          <w:marRight w:val="0"/>
          <w:marTop w:val="0"/>
          <w:marBottom w:val="0"/>
          <w:divBdr>
            <w:top w:val="none" w:sz="0" w:space="0" w:color="auto"/>
            <w:left w:val="none" w:sz="0" w:space="0" w:color="auto"/>
            <w:bottom w:val="none" w:sz="0" w:space="0" w:color="auto"/>
            <w:right w:val="none" w:sz="0" w:space="0" w:color="auto"/>
          </w:divBdr>
          <w:divsChild>
            <w:div w:id="8968636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11267</Words>
  <Characters>64226</Characters>
  <Application>Microsoft Office Word</Application>
  <DocSecurity>0</DocSecurity>
  <Lines>535</Lines>
  <Paragraphs>150</Paragraphs>
  <ScaleCrop>false</ScaleCrop>
  <Company/>
  <LinksUpToDate>false</LinksUpToDate>
  <CharactersWithSpaces>75343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2012-04-25T15:16:00Z</cp:lastPrinted>
  <dcterms:created xsi:type="dcterms:W3CDTF">2012-04-25T15:16:00Z</dcterms:created>
  <dcterms:modified xsi:type="dcterms:W3CDTF">2012-04-25T15:16:00Z</dcterms:modified>
</cp:coreProperties>
</file>